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480" w:line="335.99999999999994" w:lineRule="auto"/>
        <w:rPr>
          <w:rFonts w:ascii="Georgia" w:cs="Georgia" w:eastAsia="Georgia" w:hAnsi="Georgia"/>
          <w:b w:val="1"/>
          <w:color w:val="212121"/>
          <w:sz w:val="46"/>
          <w:szCs w:val="46"/>
        </w:rPr>
      </w:pPr>
      <w:bookmarkStart w:colFirst="0" w:colLast="0" w:name="_ju5b51smxwt7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212121"/>
          <w:sz w:val="46"/>
          <w:szCs w:val="46"/>
          <w:rtl w:val="0"/>
        </w:rPr>
        <w:t xml:space="preserve">Neoadjuvant chemotherapy in early-stage cervical cancer ( &lt;2 cm) before conization for fertility preservation: is there any advantage over upfront conization?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Rule="auto"/>
        <w:rPr>
          <w:rFonts w:ascii="Merriweather" w:cs="Merriweather" w:eastAsia="Merriweather" w:hAnsi="Merriweather"/>
          <w:b w:val="1"/>
          <w:color w:val="212121"/>
          <w:sz w:val="34"/>
          <w:szCs w:val="34"/>
        </w:rPr>
      </w:pPr>
      <w:bookmarkStart w:colFirst="0" w:colLast="0" w:name="_dkpjsr8ujsj4" w:id="1"/>
      <w:bookmarkEnd w:id="1"/>
      <w:r w:rsidDel="00000000" w:rsidR="00000000" w:rsidRPr="00000000">
        <w:rPr>
          <w:rFonts w:ascii="Merriweather" w:cs="Merriweather" w:eastAsia="Merriweather" w:hAnsi="Merriweather"/>
          <w:b w:val="1"/>
          <w:color w:val="212121"/>
          <w:sz w:val="34"/>
          <w:szCs w:val="34"/>
          <w:rtl w:val="0"/>
        </w:rPr>
        <w:t xml:space="preserve">Abstract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3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rtl w:val="0"/>
        </w:rPr>
        <w:t xml:space="preserve">Background: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Neoadjuvant chemotherapy before fertility-sparing surgery is an accepted option for patients with cervical tumors between 2 cm and 4 cm. There is a paucity of data regarding its role in patients with tumors &lt;2 cm. Our objective was to compare the oncological and obstetrical outcomes between patients who underwent neoadjuvant chemotherapy before cervical conization versus upfront cervical conization in patients with cervical cancer with tumors &lt;2 cm.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3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rtl w:val="0"/>
        </w:rPr>
        <w:t xml:space="preserve">Methods: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We conducted a systematic literature review and searched MEDLINE, EMBASE, and CINAHL (from 1995 to March 2020) using the terms: uterine cervix neoplasms, cervical cancer, fertility-sparing surgery, fertility preservation, conization, cone biopsy, and neoadjuvant chemotherapy. We included manuscripts with information on patients with tumor size &lt;2 cm, lymph node status, follow-up, oncological and obstetrical outcome, and toxicity related to neoadjuvant chemotherapy. We excluded review articles or articles with duplicated patient information.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3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rtl w:val="0"/>
        </w:rPr>
        <w:t xml:space="preserve">Results: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We identified 12 articles, including 579 patients. For final analysis, 261 patients met inclusion criteria. The most common histology was non-squamous cell carcinoma (62%). Median follow-up time was 63.5 (range 7-122) months for the neoadjuvant chemotherapy group and 48 (range 12-184) months for the upfront cervical conization group. There was no difference in either overall survival (neoadjuvant chemotherapy group 100% vs upfront cervical conization 99.7%, p=0.79) or disease-free survival (neoadjuvant chemotherapy 100% vs upfront cervical conization 98.9%, p=0.59) between the groups. Fertility preservation rate was 81.4% versus 99.1% (p&lt;0.001) favoring upfront cervical conization. No statistically significant differences were seen in live birth rate or pregnancy loss. Also, we found that all neoadjuvant chemotherapy patients reported chemotherapy-related toxicity (30.7% grade 3 and 69.2% grade 1-2).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3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rtl w:val="0"/>
        </w:rPr>
        <w:t xml:space="preserve">Conclusions: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There was no difference in disease-free survival or overall survival between patients who underwent neoadjuvant chemotherapy followed by conization and upfront cervical conization. Patients who underwent upfront cervical conization had a higher fertility preservation rate.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3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cervical cancer; cervix uteri.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Link full text: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https://pubmed.ncbi.nlm.nih.gov/33649005/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ubmed.ncbi.nlm.nih.gov/33649005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