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480" w:line="335.99999999999994" w:lineRule="auto"/>
        <w:rPr>
          <w:rFonts w:ascii="Merriweather" w:cs="Merriweather" w:eastAsia="Merriweather" w:hAnsi="Merriweather"/>
          <w:b w:val="1"/>
          <w:color w:val="212121"/>
          <w:sz w:val="46"/>
          <w:szCs w:val="46"/>
        </w:rPr>
      </w:pPr>
      <w:bookmarkStart w:colFirst="0" w:colLast="0" w:name="_arcy2ufi71vx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color w:val="212121"/>
          <w:sz w:val="46"/>
          <w:szCs w:val="46"/>
          <w:rtl w:val="0"/>
        </w:rPr>
        <w:t xml:space="preserve">Primary vaginal sarcoma treated with upfront fertility-sparing surgery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highlight w:val="white"/>
          <w:rtl w:val="0"/>
        </w:rPr>
        <w:t xml:space="preserve">Keywords: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vaginal neoplasms; vulvar and vaginal cancer.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Link full text: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https://pubmed.ncbi.nlm.nih.gov/33649019/</w:t>
        </w:r>
      </w:hyperlink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highlight w:val="white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ubmed.ncbi.nlm.nih.gov/3364901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